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3CFF" w:rsidRPr="00DA3CFF" w:rsidRDefault="004C4E84" w:rsidP="00DA3CFF">
      <w:pPr>
        <w:pStyle w:val="NormalWeb"/>
        <w:spacing w:before="0" w:beforeAutospacing="0" w:after="0" w:afterAutospacing="0" w:line="480" w:lineRule="auto"/>
        <w:rPr>
          <w:color w:val="1C1E29"/>
        </w:rPr>
      </w:pPr>
      <w:r w:rsidRPr="000D3D5F">
        <w:t xml:space="preserve"> </w:t>
      </w:r>
      <w:r w:rsidR="00DA3CFF" w:rsidRPr="00DA3CFF">
        <w:rPr>
          <w:b/>
          <w:bCs/>
          <w:color w:val="1C1E29"/>
        </w:rPr>
        <w:t>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 </w:t>
      </w:r>
    </w:p>
    <w:p w:rsidR="00DA3CFF" w:rsidRPr="00DA3CFF" w:rsidRDefault="00DA3CFF" w:rsidP="00DA3CFF">
      <w:pPr>
        <w:spacing w:after="0" w:line="480" w:lineRule="auto"/>
        <w:jc w:val="center"/>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Torts</w:t>
      </w:r>
    </w:p>
    <w:p w:rsidR="00DA3CFF" w:rsidRPr="00DA3CFF" w:rsidRDefault="00DA3CFF" w:rsidP="00DA3CFF">
      <w:pPr>
        <w:spacing w:after="0" w:line="480" w:lineRule="auto"/>
        <w:jc w:val="center"/>
        <w:rPr>
          <w:rFonts w:ascii="Times New Roman" w:eastAsia="Times New Roman" w:hAnsi="Times New Roman" w:cs="Times New Roman"/>
          <w:color w:val="1C1E29"/>
          <w:sz w:val="24"/>
          <w:szCs w:val="24"/>
        </w:rPr>
      </w:pPr>
    </w:p>
    <w:p w:rsidR="00DA3CFF" w:rsidRPr="00DA3CFF" w:rsidRDefault="00DA3CFF" w:rsidP="00DA3CFF">
      <w:pPr>
        <w:spacing w:after="0" w:line="480" w:lineRule="auto"/>
        <w:jc w:val="center"/>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Name of Student</w:t>
      </w:r>
    </w:p>
    <w:p w:rsidR="00DA3CFF" w:rsidRPr="00DA3CFF" w:rsidRDefault="00DA3CFF" w:rsidP="00DA3CFF">
      <w:pPr>
        <w:spacing w:after="0" w:line="480" w:lineRule="auto"/>
        <w:jc w:val="center"/>
        <w:rPr>
          <w:rFonts w:ascii="Times New Roman" w:eastAsia="Times New Roman" w:hAnsi="Times New Roman" w:cs="Times New Roman"/>
          <w:color w:val="1C1E29"/>
          <w:sz w:val="24"/>
          <w:szCs w:val="24"/>
        </w:rPr>
      </w:pPr>
    </w:p>
    <w:p w:rsidR="00DA3CFF" w:rsidRPr="00DA3CFF" w:rsidRDefault="00DA3CFF" w:rsidP="00DA3CFF">
      <w:pPr>
        <w:spacing w:after="0" w:line="480" w:lineRule="auto"/>
        <w:jc w:val="center"/>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Institutional Affiliation</w:t>
      </w:r>
    </w:p>
    <w:p w:rsidR="00DA3CFF" w:rsidRPr="00DA3CFF" w:rsidRDefault="00DA3CFF" w:rsidP="00DA3CFF">
      <w:pPr>
        <w:spacing w:after="0" w:line="480" w:lineRule="auto"/>
        <w:jc w:val="center"/>
        <w:rPr>
          <w:rFonts w:ascii="Times New Roman" w:eastAsia="Times New Roman" w:hAnsi="Times New Roman" w:cs="Times New Roman"/>
          <w:color w:val="1C1E29"/>
          <w:sz w:val="24"/>
          <w:szCs w:val="24"/>
        </w:rPr>
      </w:pPr>
    </w:p>
    <w:p w:rsidR="00DA3CFF" w:rsidRPr="00DA3CFF" w:rsidRDefault="00DA3CFF" w:rsidP="00DA3CFF">
      <w:pPr>
        <w:spacing w:after="0" w:line="480" w:lineRule="auto"/>
        <w:jc w:val="center"/>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Name of Professor</w:t>
      </w:r>
    </w:p>
    <w:p w:rsidR="00DA3CFF" w:rsidRPr="00DA3CFF" w:rsidRDefault="00DA3CFF" w:rsidP="00DA3CFF">
      <w:pPr>
        <w:spacing w:after="0" w:line="480" w:lineRule="auto"/>
        <w:jc w:val="center"/>
        <w:rPr>
          <w:rFonts w:ascii="Times New Roman" w:eastAsia="Times New Roman" w:hAnsi="Times New Roman" w:cs="Times New Roman"/>
          <w:color w:val="1C1E29"/>
          <w:sz w:val="24"/>
          <w:szCs w:val="24"/>
        </w:rPr>
      </w:pPr>
    </w:p>
    <w:p w:rsidR="00DA3CFF" w:rsidRPr="00DA3CFF" w:rsidRDefault="00DA3CFF" w:rsidP="00DA3CFF">
      <w:pPr>
        <w:spacing w:after="0" w:line="480" w:lineRule="auto"/>
        <w:jc w:val="center"/>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Date</w:t>
      </w:r>
    </w:p>
    <w:p w:rsidR="00DA3CFF" w:rsidRDefault="00DA3CFF" w:rsidP="00DA3CFF">
      <w:pPr>
        <w:spacing w:after="0" w:line="480" w:lineRule="auto"/>
        <w:rPr>
          <w:rFonts w:ascii="Times New Roman" w:eastAsia="Times New Roman" w:hAnsi="Times New Roman" w:cs="Times New Roman"/>
          <w:b/>
          <w:bCs/>
          <w:color w:val="1C1E29"/>
          <w:sz w:val="24"/>
          <w:szCs w:val="24"/>
        </w:rPr>
      </w:pPr>
    </w:p>
    <w:p w:rsidR="00DA3CFF" w:rsidRDefault="00DA3CFF" w:rsidP="00DA3CFF">
      <w:pPr>
        <w:spacing w:after="0" w:line="480" w:lineRule="auto"/>
        <w:rPr>
          <w:rFonts w:ascii="Times New Roman" w:eastAsia="Times New Roman" w:hAnsi="Times New Roman" w:cs="Times New Roman"/>
          <w:b/>
          <w:bCs/>
          <w:color w:val="1C1E29"/>
          <w:sz w:val="24"/>
          <w:szCs w:val="24"/>
        </w:rPr>
      </w:pPr>
    </w:p>
    <w:p w:rsidR="00DA3CFF" w:rsidRDefault="00DA3CFF" w:rsidP="00DA3CFF">
      <w:pPr>
        <w:spacing w:after="0" w:line="480" w:lineRule="auto"/>
        <w:rPr>
          <w:rFonts w:ascii="Times New Roman" w:eastAsia="Times New Roman" w:hAnsi="Times New Roman" w:cs="Times New Roman"/>
          <w:b/>
          <w:bCs/>
          <w:color w:val="1C1E29"/>
          <w:sz w:val="24"/>
          <w:szCs w:val="24"/>
        </w:rPr>
      </w:pPr>
    </w:p>
    <w:p w:rsidR="00DA3CFF" w:rsidRDefault="00DA3CFF" w:rsidP="00DA3CFF">
      <w:pPr>
        <w:spacing w:after="0" w:line="480" w:lineRule="auto"/>
        <w:rPr>
          <w:rFonts w:ascii="Times New Roman" w:eastAsia="Times New Roman" w:hAnsi="Times New Roman" w:cs="Times New Roman"/>
          <w:b/>
          <w:bCs/>
          <w:color w:val="1C1E29"/>
          <w:sz w:val="24"/>
          <w:szCs w:val="24"/>
        </w:rPr>
      </w:pP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 </w:t>
      </w:r>
    </w:p>
    <w:p w:rsidR="00B4662B" w:rsidRDefault="00B4662B" w:rsidP="00B4662B">
      <w:pPr>
        <w:spacing w:after="0" w:line="480" w:lineRule="auto"/>
        <w:jc w:val="center"/>
        <w:rPr>
          <w:rFonts w:ascii="Times New Roman" w:eastAsia="Times New Roman" w:hAnsi="Times New Roman" w:cs="Times New Roman"/>
          <w:b/>
          <w:bCs/>
          <w:color w:val="1C1E29"/>
          <w:sz w:val="24"/>
          <w:szCs w:val="24"/>
        </w:rPr>
      </w:pPr>
      <w:r>
        <w:rPr>
          <w:rFonts w:ascii="Times New Roman" w:eastAsia="Times New Roman" w:hAnsi="Times New Roman" w:cs="Times New Roman"/>
          <w:b/>
          <w:bCs/>
          <w:color w:val="1C1E29"/>
          <w:sz w:val="24"/>
          <w:szCs w:val="24"/>
        </w:rPr>
        <w:lastRenderedPageBreak/>
        <w:t xml:space="preserve">Terms to Know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Fraud: </w:t>
      </w:r>
      <w:r w:rsidRPr="00DA3CFF">
        <w:rPr>
          <w:rFonts w:ascii="Times New Roman" w:eastAsia="Times New Roman" w:hAnsi="Times New Roman" w:cs="Times New Roman"/>
          <w:color w:val="1C1E29"/>
          <w:sz w:val="24"/>
          <w:szCs w:val="24"/>
        </w:rPr>
        <w:t>fraud is the deliberate action by an individual to take a deceptive action against another individual or party with the intention of unlawfully gain from the action or to deny them their rights.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Intentional misrepresentation: </w:t>
      </w:r>
      <w:r w:rsidRPr="00DA3CFF">
        <w:rPr>
          <w:rFonts w:ascii="Times New Roman" w:eastAsia="Times New Roman" w:hAnsi="Times New Roman" w:cs="Times New Roman"/>
          <w:color w:val="1C1E29"/>
          <w:sz w:val="24"/>
          <w:szCs w:val="24"/>
        </w:rPr>
        <w:t>it is also called a fraudulent representation. It is a statement issued thoughtlessly by an individual who knows that the statement is false. The statement is made to lure the other party in signing the contract.</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Misstatement: </w:t>
      </w:r>
      <w:r w:rsidRPr="00DA3CFF">
        <w:rPr>
          <w:rFonts w:ascii="Times New Roman" w:eastAsia="Times New Roman" w:hAnsi="Times New Roman" w:cs="Times New Roman"/>
          <w:color w:val="1C1E29"/>
          <w:sz w:val="24"/>
          <w:szCs w:val="24"/>
        </w:rPr>
        <w:t>This is an action of incorrectly representing something financially due to an era of fraud. It is a violation of the IFRS.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Material fact: </w:t>
      </w:r>
      <w:r w:rsidRPr="00DA3CFF">
        <w:rPr>
          <w:rFonts w:ascii="Times New Roman" w:eastAsia="Times New Roman" w:hAnsi="Times New Roman" w:cs="Times New Roman"/>
          <w:color w:val="1C1E29"/>
          <w:sz w:val="24"/>
          <w:szCs w:val="24"/>
        </w:rPr>
        <w:t>this is a critical fact which a party should be aware of when deciding whether or not to enter a given contract.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Scienter: </w:t>
      </w:r>
      <w:r w:rsidRPr="00DA3CFF">
        <w:rPr>
          <w:rFonts w:ascii="Times New Roman" w:eastAsia="Times New Roman" w:hAnsi="Times New Roman" w:cs="Times New Roman"/>
          <w:color w:val="1C1E29"/>
          <w:sz w:val="24"/>
          <w:szCs w:val="24"/>
        </w:rPr>
        <w:t>it is a legal lawsuit against animals for the harm they cause to people. The prosecution must prove that the harm was a result of an animal that had a problematic trait. They must also prove that the owner was aware of the animal’s problem.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Privity: </w:t>
      </w:r>
      <w:r w:rsidRPr="00DA3CFF">
        <w:rPr>
          <w:rFonts w:ascii="Times New Roman" w:eastAsia="Times New Roman" w:hAnsi="Times New Roman" w:cs="Times New Roman"/>
          <w:color w:val="1C1E29"/>
          <w:sz w:val="24"/>
          <w:szCs w:val="24"/>
        </w:rPr>
        <w:t>it is the duty or commission of a rigid contract that is paid to the afflicted party as a result of negligence from the other party.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Damages: </w:t>
      </w:r>
      <w:r w:rsidRPr="00DA3CFF">
        <w:rPr>
          <w:rFonts w:ascii="Times New Roman" w:eastAsia="Times New Roman" w:hAnsi="Times New Roman" w:cs="Times New Roman"/>
          <w:color w:val="1C1E29"/>
          <w:sz w:val="24"/>
          <w:szCs w:val="24"/>
        </w:rPr>
        <w:t>this is the amount awarded to a party to make them attain the level similar to what it had before the tort occurred.</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Interference with contract: </w:t>
      </w:r>
      <w:r w:rsidRPr="00DA3CFF">
        <w:rPr>
          <w:rFonts w:ascii="Times New Roman" w:eastAsia="Times New Roman" w:hAnsi="Times New Roman" w:cs="Times New Roman"/>
          <w:color w:val="1C1E29"/>
          <w:sz w:val="24"/>
          <w:szCs w:val="24"/>
        </w:rPr>
        <w:t>this is the deliberate actions by an individual to convince or make a party forfeit their contract with another party</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Interference with a prospective advantage: </w:t>
      </w:r>
      <w:r w:rsidRPr="00DA3CFF">
        <w:rPr>
          <w:rFonts w:ascii="Times New Roman" w:eastAsia="Times New Roman" w:hAnsi="Times New Roman" w:cs="Times New Roman"/>
          <w:color w:val="1C1E29"/>
          <w:sz w:val="24"/>
          <w:szCs w:val="24"/>
        </w:rPr>
        <w:t>getting back losses for business deals that were thwarted as they were almost complete but not written down in a contract.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lastRenderedPageBreak/>
        <w:t>Product liability: </w:t>
      </w:r>
      <w:r w:rsidRPr="00DA3CFF">
        <w:rPr>
          <w:rFonts w:ascii="Times New Roman" w:eastAsia="Times New Roman" w:hAnsi="Times New Roman" w:cs="Times New Roman"/>
          <w:color w:val="1C1E29"/>
          <w:sz w:val="24"/>
          <w:szCs w:val="24"/>
        </w:rPr>
        <w:t>the responsibility given to the manufacturer or the product venders are obliged to ensure that the products they sell are perfectly safe and cannot cause harm.</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Privity of contract: </w:t>
      </w:r>
      <w:r w:rsidRPr="00DA3CFF">
        <w:rPr>
          <w:rFonts w:ascii="Times New Roman" w:eastAsia="Times New Roman" w:hAnsi="Times New Roman" w:cs="Times New Roman"/>
          <w:color w:val="1C1E29"/>
          <w:sz w:val="24"/>
          <w:szCs w:val="24"/>
        </w:rPr>
        <w:t>if parties enter into a contract, then that contract cannot be used to limit a third party who did not take part in the contract.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Caveat emptor: </w:t>
      </w:r>
      <w:r w:rsidRPr="00DA3CFF">
        <w:rPr>
          <w:rFonts w:ascii="Times New Roman" w:eastAsia="Times New Roman" w:hAnsi="Times New Roman" w:cs="Times New Roman"/>
          <w:color w:val="1C1E29"/>
          <w:sz w:val="24"/>
          <w:szCs w:val="24"/>
        </w:rPr>
        <w:t>only the buyer is responsible for ensuring the quality of goods before making a purchase.</w:t>
      </w:r>
      <w:r w:rsidRPr="00DA3CFF">
        <w:rPr>
          <w:rFonts w:ascii="Times New Roman" w:eastAsia="Times New Roman" w:hAnsi="Times New Roman" w:cs="Times New Roman"/>
          <w:b/>
          <w:bCs/>
          <w:color w:val="1C1E29"/>
          <w:sz w:val="24"/>
          <w:szCs w:val="24"/>
        </w:rPr>
        <w:t>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Reasonable care: </w:t>
      </w:r>
      <w:r w:rsidRPr="00DA3CFF">
        <w:rPr>
          <w:rFonts w:ascii="Times New Roman" w:eastAsia="Times New Roman" w:hAnsi="Times New Roman" w:cs="Times New Roman"/>
          <w:color w:val="1C1E29"/>
          <w:sz w:val="24"/>
          <w:szCs w:val="24"/>
        </w:rPr>
        <w:t>this is an obligation that a party will adhere to a predetermined standard of reasonable care when taking actions that have the potential of causing harm.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Strict liability: </w:t>
      </w:r>
      <w:r w:rsidRPr="00DA3CFF">
        <w:rPr>
          <w:rFonts w:ascii="Times New Roman" w:eastAsia="Times New Roman" w:hAnsi="Times New Roman" w:cs="Times New Roman"/>
          <w:color w:val="1C1E29"/>
          <w:sz w:val="24"/>
          <w:szCs w:val="24"/>
        </w:rPr>
        <w:t>a party who is in a contract is responsible for their products or harm caused by these products. The other party does not have to prove fault or negligence. </w:t>
      </w:r>
      <w:r w:rsidRPr="00DA3CFF">
        <w:rPr>
          <w:rFonts w:ascii="Times New Roman" w:eastAsia="Times New Roman" w:hAnsi="Times New Roman" w:cs="Times New Roman"/>
          <w:b/>
          <w:bCs/>
          <w:color w:val="1C1E29"/>
          <w:sz w:val="24"/>
          <w:szCs w:val="24"/>
        </w:rPr>
        <w:t>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Warranty: </w:t>
      </w:r>
      <w:r w:rsidRPr="00DA3CFF">
        <w:rPr>
          <w:rFonts w:ascii="Times New Roman" w:eastAsia="Times New Roman" w:hAnsi="Times New Roman" w:cs="Times New Roman"/>
          <w:color w:val="1C1E29"/>
          <w:sz w:val="24"/>
          <w:szCs w:val="24"/>
        </w:rPr>
        <w:t>the obligation by the manufacturer to rectify the damage on their products within the terms of the contract.</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Express warranty: </w:t>
      </w:r>
      <w:r w:rsidRPr="00DA3CFF">
        <w:rPr>
          <w:rFonts w:ascii="Times New Roman" w:eastAsia="Times New Roman" w:hAnsi="Times New Roman" w:cs="Times New Roman"/>
          <w:color w:val="1C1E29"/>
          <w:sz w:val="24"/>
          <w:szCs w:val="24"/>
        </w:rPr>
        <w:t>an agreement for the repair of products by a company within a given predetermined time.</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Implied warranty: </w:t>
      </w:r>
      <w:r w:rsidRPr="00DA3CFF">
        <w:rPr>
          <w:rFonts w:ascii="Times New Roman" w:eastAsia="Times New Roman" w:hAnsi="Times New Roman" w:cs="Times New Roman"/>
          <w:color w:val="1C1E29"/>
          <w:sz w:val="24"/>
          <w:szCs w:val="24"/>
        </w:rPr>
        <w:t>this is a guarantee which manufacturers give the consumer that their products will be as described.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Misrepresentation: </w:t>
      </w:r>
      <w:r w:rsidRPr="00DA3CFF">
        <w:rPr>
          <w:rFonts w:ascii="Times New Roman" w:eastAsia="Times New Roman" w:hAnsi="Times New Roman" w:cs="Times New Roman"/>
          <w:color w:val="1C1E29"/>
          <w:sz w:val="24"/>
          <w:szCs w:val="24"/>
        </w:rPr>
        <w:t>This is the deliberate issuing of untrue, unfounded, and misleading statements during negotiations of a contract to influence the decision made. </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Failure to warn: </w:t>
      </w:r>
      <w:r w:rsidRPr="00DA3CFF">
        <w:rPr>
          <w:rFonts w:ascii="Times New Roman" w:eastAsia="Times New Roman" w:hAnsi="Times New Roman" w:cs="Times New Roman"/>
          <w:color w:val="1C1E29"/>
          <w:sz w:val="24"/>
          <w:szCs w:val="24"/>
        </w:rPr>
        <w:t>this is where the defendant must show and demonstrate care to the plaintiff by issuing warnings prior to the occurrence of a tort.</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Design defect: </w:t>
      </w:r>
      <w:r w:rsidRPr="00DA3CFF">
        <w:rPr>
          <w:rFonts w:ascii="Times New Roman" w:eastAsia="Times New Roman" w:hAnsi="Times New Roman" w:cs="Times New Roman"/>
          <w:color w:val="1C1E29"/>
          <w:sz w:val="24"/>
          <w:szCs w:val="24"/>
        </w:rPr>
        <w:t>Risk posed by a product that is manufactured in the right way and put to the intended use.</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Unknown hazard: </w:t>
      </w:r>
      <w:r w:rsidRPr="00DA3CFF">
        <w:rPr>
          <w:rFonts w:ascii="Times New Roman" w:eastAsia="Times New Roman" w:hAnsi="Times New Roman" w:cs="Times New Roman"/>
          <w:color w:val="1C1E29"/>
          <w:sz w:val="24"/>
          <w:szCs w:val="24"/>
        </w:rPr>
        <w:t>Likelihood that a product will face unforeseen risk soon.</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lastRenderedPageBreak/>
        <w:t>Joint and several liabilities: </w:t>
      </w:r>
      <w:r w:rsidRPr="00DA3CFF">
        <w:rPr>
          <w:rFonts w:ascii="Times New Roman" w:eastAsia="Times New Roman" w:hAnsi="Times New Roman" w:cs="Times New Roman"/>
          <w:color w:val="1C1E29"/>
          <w:sz w:val="24"/>
          <w:szCs w:val="24"/>
        </w:rPr>
        <w:t>A victim is in a position to collect all damages from all parties irrespective of their share in the liability.</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Bulk-supplier doctrine: </w:t>
      </w:r>
      <w:r w:rsidRPr="00DA3CFF">
        <w:rPr>
          <w:rFonts w:ascii="Times New Roman" w:eastAsia="Times New Roman" w:hAnsi="Times New Roman" w:cs="Times New Roman"/>
          <w:color w:val="1C1E29"/>
          <w:sz w:val="24"/>
          <w:szCs w:val="24"/>
        </w:rPr>
        <w:t>the bulk supplier is not to be held liable to the consumer in the event of harm</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Sophisticated user: </w:t>
      </w:r>
      <w:r w:rsidRPr="00DA3CFF">
        <w:rPr>
          <w:rFonts w:ascii="Times New Roman" w:eastAsia="Times New Roman" w:hAnsi="Times New Roman" w:cs="Times New Roman"/>
          <w:color w:val="1C1E29"/>
          <w:sz w:val="24"/>
          <w:szCs w:val="24"/>
        </w:rPr>
        <w:t>if an intermediary with knowledge is present, the manufacturer is not liable for not issuing a warning.</w:t>
      </w:r>
    </w:p>
    <w:p w:rsidR="00DA3CFF" w:rsidRP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b/>
          <w:bCs/>
          <w:color w:val="1C1E29"/>
          <w:sz w:val="24"/>
          <w:szCs w:val="24"/>
        </w:rPr>
        <w:t>Ultra-hazardous activities: </w:t>
      </w:r>
      <w:r w:rsidRPr="00DA3CFF">
        <w:rPr>
          <w:rFonts w:ascii="Times New Roman" w:eastAsia="Times New Roman" w:hAnsi="Times New Roman" w:cs="Times New Roman"/>
          <w:color w:val="1C1E29"/>
          <w:sz w:val="24"/>
          <w:szCs w:val="24"/>
        </w:rPr>
        <w:t>people are engaging in such activities are liable despite following the procedures to prevent harm. </w:t>
      </w:r>
    </w:p>
    <w:p w:rsidR="00DA3CFF" w:rsidRDefault="00DA3CFF" w:rsidP="00DA3CFF">
      <w:pPr>
        <w:spacing w:after="0" w:line="480" w:lineRule="auto"/>
        <w:rPr>
          <w:rFonts w:ascii="Times New Roman" w:eastAsia="Times New Roman" w:hAnsi="Times New Roman" w:cs="Times New Roman"/>
          <w:color w:val="1C1E29"/>
          <w:sz w:val="24"/>
          <w:szCs w:val="24"/>
        </w:rPr>
      </w:pPr>
      <w:r w:rsidRPr="00DA3CFF">
        <w:rPr>
          <w:rFonts w:ascii="Times New Roman" w:eastAsia="Times New Roman" w:hAnsi="Times New Roman" w:cs="Times New Roman"/>
          <w:color w:val="1C1E29"/>
          <w:sz w:val="24"/>
          <w:szCs w:val="24"/>
        </w:rPr>
        <w:t> </w:t>
      </w:r>
    </w:p>
    <w:p w:rsidR="00B4662B" w:rsidRPr="00DA3CFF" w:rsidRDefault="00B4662B" w:rsidP="00DA3CFF">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Case study Question 4 on page 164 </w:t>
      </w:r>
    </w:p>
    <w:p w:rsidR="00DA3CFF" w:rsidRPr="00DA3CFF" w:rsidRDefault="00DA3CFF" w:rsidP="00DA3CFF">
      <w:pPr>
        <w:numPr>
          <w:ilvl w:val="0"/>
          <w:numId w:val="2"/>
        </w:numPr>
        <w:spacing w:after="0" w:line="480" w:lineRule="auto"/>
        <w:ind w:firstLine="0"/>
        <w:rPr>
          <w:rFonts w:ascii="Times New Roman" w:eastAsia="Times New Roman" w:hAnsi="Times New Roman" w:cs="Times New Roman"/>
          <w:color w:val="1C1E29"/>
          <w:sz w:val="24"/>
          <w:szCs w:val="24"/>
        </w:rPr>
      </w:pPr>
      <w:r w:rsidRPr="00DA3CFF">
        <w:rPr>
          <w:rFonts w:ascii="Times New Roman" w:eastAsia="Times New Roman" w:hAnsi="Times New Roman" w:cs="Times New Roman"/>
          <w:color w:val="1C1E29"/>
          <w:sz w:val="24"/>
          <w:szCs w:val="24"/>
        </w:rPr>
        <w:t>Azar Company deliberately interferes with the contract of Florida Land Developer, and in the process, they damage the contractual relationship, which was likely to happen between the client and Florida land developers. However, Azar is also guilty for misrepresentation by issuing customers information about what was not valid. The company knows that it is against the law to deliberately interfere with the contract of another company, yet they take the move offering the customers a similar product at a much lower price. The misrepresentation is aimed at giving some assurance to the customers in order to change their minds. Despite this, the most dominant tort is interference with a contract. This is because the Florida land developers have already taken the initiative of hosting the client in their hotel, waiting for the contract to be signed. Azar, on the other hand, steals the customers from underneath their noses.</w:t>
      </w:r>
    </w:p>
    <w:p w:rsidR="00B4662B" w:rsidRDefault="00B4662B" w:rsidP="00B4662B">
      <w:pPr>
        <w:spacing w:after="0" w:line="480" w:lineRule="auto"/>
        <w:ind w:left="720"/>
        <w:rPr>
          <w:rFonts w:ascii="Times New Roman" w:eastAsia="Times New Roman" w:hAnsi="Times New Roman" w:cs="Times New Roman"/>
          <w:color w:val="1C1E29"/>
          <w:sz w:val="24"/>
          <w:szCs w:val="24"/>
        </w:rPr>
      </w:pPr>
    </w:p>
    <w:p w:rsidR="00B4662B" w:rsidRDefault="00B4662B" w:rsidP="00B4662B">
      <w:pPr>
        <w:spacing w:after="0" w:line="480" w:lineRule="auto"/>
        <w:ind w:left="720"/>
        <w:rPr>
          <w:rFonts w:ascii="Times New Roman" w:eastAsia="Times New Roman" w:hAnsi="Times New Roman" w:cs="Times New Roman"/>
          <w:color w:val="1C1E29"/>
          <w:sz w:val="24"/>
          <w:szCs w:val="24"/>
        </w:rPr>
      </w:pPr>
    </w:p>
    <w:p w:rsidR="00B4662B" w:rsidRPr="00B4662B" w:rsidRDefault="00B4662B" w:rsidP="00B4662B">
      <w:pPr>
        <w:spacing w:after="0" w:line="480" w:lineRule="auto"/>
        <w:ind w:left="720"/>
        <w:jc w:val="center"/>
        <w:rPr>
          <w:rFonts w:ascii="Times New Roman" w:eastAsia="Times New Roman" w:hAnsi="Times New Roman" w:cs="Times New Roman"/>
          <w:b/>
          <w:color w:val="1C1E29"/>
          <w:sz w:val="24"/>
          <w:szCs w:val="24"/>
        </w:rPr>
      </w:pPr>
      <w:r w:rsidRPr="00B4662B">
        <w:rPr>
          <w:rFonts w:ascii="Times New Roman" w:eastAsia="Times New Roman" w:hAnsi="Times New Roman" w:cs="Times New Roman"/>
          <w:b/>
          <w:color w:val="1C1E29"/>
          <w:sz w:val="24"/>
          <w:szCs w:val="24"/>
        </w:rPr>
        <w:lastRenderedPageBreak/>
        <w:t>Case study question 8 on page 164</w:t>
      </w:r>
    </w:p>
    <w:p w:rsidR="00DA3CFF" w:rsidRPr="00DA3CFF" w:rsidRDefault="00DA3CFF" w:rsidP="00B4662B">
      <w:pPr>
        <w:spacing w:after="0" w:line="480" w:lineRule="auto"/>
        <w:ind w:left="720"/>
        <w:rPr>
          <w:rFonts w:ascii="Times New Roman" w:eastAsia="Times New Roman" w:hAnsi="Times New Roman" w:cs="Times New Roman"/>
          <w:color w:val="1C1E29"/>
          <w:sz w:val="24"/>
          <w:szCs w:val="24"/>
        </w:rPr>
      </w:pPr>
      <w:r w:rsidRPr="00DA3CFF">
        <w:rPr>
          <w:rFonts w:ascii="Times New Roman" w:eastAsia="Times New Roman" w:hAnsi="Times New Roman" w:cs="Times New Roman"/>
          <w:color w:val="1C1E29"/>
          <w:sz w:val="24"/>
          <w:szCs w:val="24"/>
        </w:rPr>
        <w:t>In the lawsuit against Bic Company, the company lost the case. As alleged, the company produced lighters that were unreasonably dangerous. While it is true that the company had issued a warning for the parents to keep such products out of reach for their children, howev</w:t>
      </w:r>
      <w:bookmarkStart w:id="0" w:name="_GoBack"/>
      <w:bookmarkEnd w:id="0"/>
      <w:r w:rsidRPr="00DA3CFF">
        <w:rPr>
          <w:rFonts w:ascii="Times New Roman" w:eastAsia="Times New Roman" w:hAnsi="Times New Roman" w:cs="Times New Roman"/>
          <w:color w:val="1C1E29"/>
          <w:sz w:val="24"/>
          <w:szCs w:val="24"/>
        </w:rPr>
        <w:t>er, the product liability states that a manufacturer is responsible for their products and they should do their best to ensure that these products do not do any harm. Therefore, Bic should have ensured that even in the hands of a small child, the lighter could not have caused harm. The company had failed at that. The lighter was entirely designed, and it was used in the right way, which is the lighting. However, it ended up creating a big disaster. Therefore, the lighter had massive design defects, which made it possible for a child to use it in the right way and do much harm. </w:t>
      </w:r>
    </w:p>
    <w:p w:rsidR="00E64D4B" w:rsidRPr="000D3D5F" w:rsidRDefault="00E64D4B" w:rsidP="00DA3CFF">
      <w:pPr>
        <w:spacing w:line="480" w:lineRule="auto"/>
      </w:pPr>
    </w:p>
    <w:sectPr w:rsidR="00E64D4B" w:rsidRPr="000D3D5F" w:rsidSect="004912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2125" w:rsidRDefault="00F82125" w:rsidP="00491229">
      <w:pPr>
        <w:spacing w:after="0" w:line="240" w:lineRule="auto"/>
      </w:pPr>
      <w:r>
        <w:separator/>
      </w:r>
    </w:p>
  </w:endnote>
  <w:endnote w:type="continuationSeparator" w:id="0">
    <w:p w:rsidR="00F82125" w:rsidRDefault="00F82125" w:rsidP="00491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2125" w:rsidRDefault="00F82125" w:rsidP="00491229">
      <w:pPr>
        <w:spacing w:after="0" w:line="240" w:lineRule="auto"/>
      </w:pPr>
      <w:r>
        <w:separator/>
      </w:r>
    </w:p>
  </w:footnote>
  <w:footnote w:type="continuationSeparator" w:id="0">
    <w:p w:rsidR="00F82125" w:rsidRDefault="00F82125" w:rsidP="004912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DAE" w:rsidRPr="00491229" w:rsidRDefault="007B2DAE" w:rsidP="007B2DAE">
    <w:pPr>
      <w:pStyle w:val="Header"/>
      <w:rPr>
        <w:rFonts w:ascii="Times New Roman" w:hAnsi="Times New Roman" w:cs="Times New Roman"/>
        <w:sz w:val="24"/>
      </w:rPr>
    </w:pPr>
    <w:r w:rsidRPr="00491229">
      <w:rPr>
        <w:rFonts w:ascii="Times New Roman" w:hAnsi="Times New Roman" w:cs="Times New Roman"/>
        <w:sz w:val="24"/>
      </w:rPr>
      <w:t>TORTS</w:t>
    </w:r>
    <w:r w:rsidRPr="00491229">
      <w:rPr>
        <w:rFonts w:ascii="Times New Roman" w:hAnsi="Times New Roman" w:cs="Times New Roman"/>
        <w:sz w:val="24"/>
      </w:rPr>
      <w:tab/>
    </w:r>
    <w:r w:rsidRPr="00491229">
      <w:rPr>
        <w:rFonts w:ascii="Times New Roman" w:hAnsi="Times New Roman" w:cs="Times New Roman"/>
        <w:sz w:val="24"/>
      </w:rPr>
      <w:tab/>
    </w:r>
    <w:r w:rsidRPr="00491229">
      <w:rPr>
        <w:rFonts w:ascii="Times New Roman" w:hAnsi="Times New Roman" w:cs="Times New Roman"/>
        <w:sz w:val="24"/>
      </w:rPr>
      <w:fldChar w:fldCharType="begin"/>
    </w:r>
    <w:r w:rsidRPr="00491229">
      <w:rPr>
        <w:rFonts w:ascii="Times New Roman" w:hAnsi="Times New Roman" w:cs="Times New Roman"/>
        <w:sz w:val="24"/>
      </w:rPr>
      <w:instrText xml:space="preserve"> PAGE   \* MERGEFORMAT </w:instrText>
    </w:r>
    <w:r w:rsidRPr="00491229">
      <w:rPr>
        <w:rFonts w:ascii="Times New Roman" w:hAnsi="Times New Roman" w:cs="Times New Roman"/>
        <w:sz w:val="24"/>
      </w:rPr>
      <w:fldChar w:fldCharType="separate"/>
    </w:r>
    <w:r w:rsidR="00A93303">
      <w:rPr>
        <w:rFonts w:ascii="Times New Roman" w:hAnsi="Times New Roman" w:cs="Times New Roman"/>
        <w:noProof/>
        <w:sz w:val="24"/>
      </w:rPr>
      <w:t>3</w:t>
    </w:r>
    <w:r w:rsidRPr="00491229">
      <w:rPr>
        <w:rFonts w:ascii="Times New Roman" w:hAnsi="Times New Roman" w:cs="Times New Roman"/>
        <w:noProof/>
        <w:sz w:val="24"/>
      </w:rPr>
      <w:fldChar w:fldCharType="end"/>
    </w:r>
  </w:p>
  <w:p w:rsidR="00491229" w:rsidRDefault="004912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229" w:rsidRPr="00491229" w:rsidRDefault="00491229">
    <w:pPr>
      <w:pStyle w:val="Header"/>
      <w:rPr>
        <w:rFonts w:ascii="Times New Roman" w:hAnsi="Times New Roman" w:cs="Times New Roman"/>
        <w:sz w:val="24"/>
      </w:rPr>
    </w:pPr>
    <w:r w:rsidRPr="00491229">
      <w:rPr>
        <w:rFonts w:ascii="Times New Roman" w:hAnsi="Times New Roman" w:cs="Times New Roman"/>
        <w:sz w:val="24"/>
      </w:rPr>
      <w:t>Running head: TORTS</w:t>
    </w:r>
    <w:r w:rsidRPr="00491229">
      <w:rPr>
        <w:rFonts w:ascii="Times New Roman" w:hAnsi="Times New Roman" w:cs="Times New Roman"/>
        <w:sz w:val="24"/>
      </w:rPr>
      <w:tab/>
    </w:r>
    <w:r w:rsidRPr="00491229">
      <w:rPr>
        <w:rFonts w:ascii="Times New Roman" w:hAnsi="Times New Roman" w:cs="Times New Roman"/>
        <w:sz w:val="24"/>
      </w:rPr>
      <w:tab/>
    </w:r>
    <w:r w:rsidRPr="00491229">
      <w:rPr>
        <w:rFonts w:ascii="Times New Roman" w:hAnsi="Times New Roman" w:cs="Times New Roman"/>
        <w:sz w:val="24"/>
      </w:rPr>
      <w:fldChar w:fldCharType="begin"/>
    </w:r>
    <w:r w:rsidRPr="00491229">
      <w:rPr>
        <w:rFonts w:ascii="Times New Roman" w:hAnsi="Times New Roman" w:cs="Times New Roman"/>
        <w:sz w:val="24"/>
      </w:rPr>
      <w:instrText xml:space="preserve"> PAGE   \* MERGEFORMAT </w:instrText>
    </w:r>
    <w:r w:rsidRPr="00491229">
      <w:rPr>
        <w:rFonts w:ascii="Times New Roman" w:hAnsi="Times New Roman" w:cs="Times New Roman"/>
        <w:sz w:val="24"/>
      </w:rPr>
      <w:fldChar w:fldCharType="separate"/>
    </w:r>
    <w:r w:rsidR="00B4662B">
      <w:rPr>
        <w:rFonts w:ascii="Times New Roman" w:hAnsi="Times New Roman" w:cs="Times New Roman"/>
        <w:noProof/>
        <w:sz w:val="24"/>
      </w:rPr>
      <w:t>1</w:t>
    </w:r>
    <w:r w:rsidRPr="00491229">
      <w:rPr>
        <w:rFonts w:ascii="Times New Roman" w:hAnsi="Times New Roman" w:cs="Times New Roman"/>
        <w:noProof/>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924477"/>
    <w:multiLevelType w:val="multilevel"/>
    <w:tmpl w:val="7A0A4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C9D1CDE"/>
    <w:multiLevelType w:val="hybridMultilevel"/>
    <w:tmpl w:val="4672E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92C"/>
    <w:rsid w:val="00066BB4"/>
    <w:rsid w:val="000D3D5F"/>
    <w:rsid w:val="00191A04"/>
    <w:rsid w:val="0021775A"/>
    <w:rsid w:val="002625D6"/>
    <w:rsid w:val="003203B4"/>
    <w:rsid w:val="004131A0"/>
    <w:rsid w:val="0047392C"/>
    <w:rsid w:val="00491229"/>
    <w:rsid w:val="004C4E84"/>
    <w:rsid w:val="00586F2D"/>
    <w:rsid w:val="005E09F5"/>
    <w:rsid w:val="00604601"/>
    <w:rsid w:val="006665CC"/>
    <w:rsid w:val="007B2DAE"/>
    <w:rsid w:val="008D588B"/>
    <w:rsid w:val="009B4B95"/>
    <w:rsid w:val="00A113A6"/>
    <w:rsid w:val="00A93303"/>
    <w:rsid w:val="00B4662B"/>
    <w:rsid w:val="00C23677"/>
    <w:rsid w:val="00C648F9"/>
    <w:rsid w:val="00DA3CFF"/>
    <w:rsid w:val="00E64D4B"/>
    <w:rsid w:val="00EF0171"/>
    <w:rsid w:val="00F279E0"/>
    <w:rsid w:val="00F82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A67A64-8B3E-4385-A992-3A9C68EFE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6BB4"/>
    <w:pPr>
      <w:ind w:left="720"/>
      <w:contextualSpacing/>
    </w:pPr>
  </w:style>
  <w:style w:type="paragraph" w:styleId="Header">
    <w:name w:val="header"/>
    <w:basedOn w:val="Normal"/>
    <w:link w:val="HeaderChar"/>
    <w:uiPriority w:val="99"/>
    <w:unhideWhenUsed/>
    <w:rsid w:val="00491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229"/>
  </w:style>
  <w:style w:type="paragraph" w:styleId="Footer">
    <w:name w:val="footer"/>
    <w:basedOn w:val="Normal"/>
    <w:link w:val="FooterChar"/>
    <w:uiPriority w:val="99"/>
    <w:unhideWhenUsed/>
    <w:rsid w:val="00491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229"/>
  </w:style>
  <w:style w:type="paragraph" w:styleId="NormalWeb">
    <w:name w:val="Normal (Web)"/>
    <w:basedOn w:val="Normal"/>
    <w:uiPriority w:val="99"/>
    <w:semiHidden/>
    <w:unhideWhenUsed/>
    <w:rsid w:val="00DA3CF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A3C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161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2019-10-31T01:43:00Z</dcterms:created>
  <dcterms:modified xsi:type="dcterms:W3CDTF">2019-10-31T01:43:00Z</dcterms:modified>
</cp:coreProperties>
</file>